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EE" w:rsidRPr="005E6FEE" w:rsidRDefault="0017765B" w:rsidP="005E6FEE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Genetic Analysis to Identify Human Remains Case Study</w:t>
      </w:r>
    </w:p>
    <w:p w:rsidR="005E6FEE" w:rsidRPr="005E6FEE" w:rsidRDefault="005E6FEE" w:rsidP="005E6FEE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5E6FEE" w:rsidRPr="005E6FEE" w:rsidRDefault="005E6FEE" w:rsidP="005E6FE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17765B">
        <w:rPr>
          <w:rFonts w:cs="AvenirLTStd-Heavy"/>
          <w:bCs/>
          <w:sz w:val="24"/>
          <w:szCs w:val="24"/>
        </w:rPr>
        <w:t>When the twin towers</w:t>
      </w:r>
      <w:r w:rsidRPr="005E6FEE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of the World Trade Center fell on the morning of September 11, 2001, every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family affected by the attack asked the same question: “Did my loved one survive?” Weeks later, when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relative had not returned home, the answer should have been obvious. But it was only natural to hope that 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or she might still walk in the door, especially since the devastation had left little concrete evidence. Starting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in 2002, the New York City medical examiner’s office began attempting to identify the human remains using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tried-and-true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methods of genetic analysis. However, these methods depend on relatively long pieces of</w:t>
      </w:r>
    </w:p>
    <w:p w:rsidR="005E6FEE" w:rsidRDefault="005E6FEE" w:rsidP="005E6FE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5E6FEE">
        <w:rPr>
          <w:rFonts w:cs="AvenirLTStd-Book"/>
          <w:color w:val="000000"/>
          <w:sz w:val="24"/>
          <w:szCs w:val="24"/>
        </w:rPr>
        <w:t>undamaged</w:t>
      </w:r>
      <w:proofErr w:type="gramEnd"/>
      <w:r w:rsidRPr="005E6FEE">
        <w:rPr>
          <w:rFonts w:cs="AvenirLTStd-Book"/>
          <w:color w:val="000000"/>
          <w:sz w:val="24"/>
          <w:szCs w:val="24"/>
        </w:rPr>
        <w:t xml:space="preserve"> human DNA, and little DNA of that description survived the catastrophic collapse and burn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the Trade Center. Frustrated with the slow pace of identification, officials decided to try two promising, but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E6FEE">
        <w:rPr>
          <w:rFonts w:cs="AvenirLTStd-Book"/>
          <w:color w:val="000000"/>
          <w:sz w:val="24"/>
          <w:szCs w:val="24"/>
        </w:rPr>
        <w:t>relatively unproven, experimental techniques.</w:t>
      </w:r>
    </w:p>
    <w:p w:rsidR="005E6FEE" w:rsidRPr="005E6FEE" w:rsidRDefault="005E6FEE" w:rsidP="005E6FE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5E6FEE" w:rsidRPr="005E6FEE" w:rsidRDefault="005E6FEE" w:rsidP="005E6F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5E6FEE">
        <w:rPr>
          <w:rFonts w:cs="AvenirLTStd-Book"/>
          <w:color w:val="000000"/>
          <w:sz w:val="24"/>
          <w:szCs w:val="24"/>
        </w:rPr>
        <w:t>What methods of genetic analysis require only very small pieces of DNA rather than the longer pieces traditionally used?</w:t>
      </w:r>
    </w:p>
    <w:p w:rsidR="00881B8D" w:rsidRPr="005E6FEE" w:rsidRDefault="005E6FEE" w:rsidP="005E6F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5E6FEE">
        <w:rPr>
          <w:rFonts w:cs="AvenirLTStd-Book"/>
          <w:color w:val="000000"/>
          <w:sz w:val="24"/>
          <w:szCs w:val="24"/>
        </w:rPr>
        <w:t>Where could investigators obtain—for purposes of comparison—DNA known to belong to a suspected victim of the World Trade Center disaster?</w:t>
      </w:r>
    </w:p>
    <w:sectPr w:rsidR="00881B8D" w:rsidRPr="005E6FEE" w:rsidSect="00F9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183"/>
    <w:multiLevelType w:val="hybridMultilevel"/>
    <w:tmpl w:val="74C2A100"/>
    <w:lvl w:ilvl="0" w:tplc="77E05BA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DA4D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951D6"/>
    <w:multiLevelType w:val="hybridMultilevel"/>
    <w:tmpl w:val="BC90820A"/>
    <w:lvl w:ilvl="0" w:tplc="0184885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FEE"/>
    <w:rsid w:val="0017765B"/>
    <w:rsid w:val="005E6FEE"/>
    <w:rsid w:val="00881B8D"/>
    <w:rsid w:val="00F9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2013-12-09T21:51:00Z</dcterms:created>
  <dcterms:modified xsi:type="dcterms:W3CDTF">2013-12-09T21:51:00Z</dcterms:modified>
</cp:coreProperties>
</file>