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Default="00021F57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Genetic Defect in </w:t>
      </w:r>
      <w:proofErr w:type="spellStart"/>
      <w:r>
        <w:rPr>
          <w:sz w:val="24"/>
          <w:szCs w:val="24"/>
        </w:rPr>
        <w:t>Phagocytic</w:t>
      </w:r>
      <w:proofErr w:type="spellEnd"/>
      <w:r>
        <w:rPr>
          <w:sz w:val="24"/>
          <w:szCs w:val="24"/>
        </w:rPr>
        <w:t xml:space="preserve"> Function </w:t>
      </w:r>
      <w:r w:rsidR="00B713B0" w:rsidRPr="00AA4245">
        <w:rPr>
          <w:sz w:val="24"/>
          <w:szCs w:val="24"/>
        </w:rPr>
        <w:t xml:space="preserve">Case </w:t>
      </w:r>
      <w:r w:rsidR="009E6768" w:rsidRPr="00AA4245">
        <w:rPr>
          <w:sz w:val="24"/>
          <w:szCs w:val="24"/>
        </w:rPr>
        <w:t>Study</w:t>
      </w:r>
      <w:r w:rsidR="007133A0" w:rsidRPr="00AA4245">
        <w:rPr>
          <w:sz w:val="24"/>
          <w:szCs w:val="24"/>
        </w:rPr>
        <w:t xml:space="preserve"> 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57FD5">
        <w:rPr>
          <w:rFonts w:cs="Palatino-Roman"/>
          <w:sz w:val="24"/>
          <w:szCs w:val="24"/>
        </w:rPr>
        <w:t>A</w:t>
      </w:r>
      <w:r w:rsidRPr="00057FD5">
        <w:rPr>
          <w:rFonts w:cs="StoneSans"/>
          <w:sz w:val="24"/>
          <w:szCs w:val="24"/>
        </w:rPr>
        <w:t>n infant boy, 6 days of age, developed severe diaper rash. Nine days later, in spite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>of topical treatment and oral antibiotics, he was hospitalized for evaluation of sepsis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>because of fever and pustules. His history was remarkable only in that there was a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 xml:space="preserve">papule at the base of the fifth finger, which was present at birth. 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57FD5">
        <w:rPr>
          <w:rFonts w:cs="StoneSans"/>
          <w:sz w:val="24"/>
          <w:szCs w:val="24"/>
        </w:rPr>
        <w:t>The infant’s chest and abdominal CT scans revealed lesions in the liver and a lung nodule.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 xml:space="preserve">Upon biopsy, neutrophils were noted in the liver abscesses and </w:t>
      </w:r>
      <w:proofErr w:type="spellStart"/>
      <w:r w:rsidRPr="00057FD5">
        <w:rPr>
          <w:rFonts w:cs="StoneSans-Italic"/>
          <w:i/>
          <w:iCs/>
          <w:sz w:val="24"/>
          <w:szCs w:val="24"/>
        </w:rPr>
        <w:t>Serratia</w:t>
      </w:r>
      <w:proofErr w:type="spellEnd"/>
      <w:r w:rsidRPr="00057FD5">
        <w:rPr>
          <w:rFonts w:cs="StoneSans-Italic"/>
          <w:i/>
          <w:iCs/>
          <w:sz w:val="24"/>
          <w:szCs w:val="24"/>
        </w:rPr>
        <w:t xml:space="preserve"> </w:t>
      </w:r>
      <w:proofErr w:type="spellStart"/>
      <w:r w:rsidRPr="00057FD5">
        <w:rPr>
          <w:rFonts w:cs="StoneSans-Italic"/>
          <w:i/>
          <w:iCs/>
          <w:sz w:val="24"/>
          <w:szCs w:val="24"/>
        </w:rPr>
        <w:t>marcescens</w:t>
      </w:r>
      <w:proofErr w:type="spellEnd"/>
      <w:r w:rsidRPr="00057FD5">
        <w:rPr>
          <w:rFonts w:cs="StoneSans-Italic"/>
          <w:i/>
          <w:iCs/>
          <w:sz w:val="24"/>
          <w:szCs w:val="24"/>
        </w:rPr>
        <w:t xml:space="preserve">, </w:t>
      </w:r>
      <w:r w:rsidRPr="00057FD5">
        <w:rPr>
          <w:rFonts w:cs="StoneSans"/>
          <w:sz w:val="24"/>
          <w:szCs w:val="24"/>
        </w:rPr>
        <w:t>a gram</w:t>
      </w:r>
      <w:r w:rsidR="00021F57">
        <w:rPr>
          <w:rFonts w:cs="StoneSans"/>
          <w:sz w:val="24"/>
          <w:szCs w:val="24"/>
        </w:rPr>
        <w:t>-</w:t>
      </w:r>
      <w:r w:rsidRPr="00057FD5">
        <w:rPr>
          <w:rFonts w:cs="StoneSans"/>
          <w:sz w:val="24"/>
          <w:szCs w:val="24"/>
        </w:rPr>
        <w:t>negative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057FD5">
        <w:rPr>
          <w:rFonts w:cs="StoneSans"/>
          <w:sz w:val="24"/>
          <w:szCs w:val="24"/>
        </w:rPr>
        <w:t>bacillus</w:t>
      </w:r>
      <w:proofErr w:type="gramEnd"/>
      <w:r w:rsidRPr="00057FD5">
        <w:rPr>
          <w:rFonts w:cs="StoneSans"/>
          <w:sz w:val="24"/>
          <w:szCs w:val="24"/>
        </w:rPr>
        <w:t>, grew after culture of the liver specimens. Biopsy of the lung nodule revealed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 xml:space="preserve">evidence of acute </w:t>
      </w:r>
      <w:proofErr w:type="spellStart"/>
      <w:r w:rsidRPr="00057FD5">
        <w:rPr>
          <w:rFonts w:cs="StoneSans"/>
          <w:sz w:val="24"/>
          <w:szCs w:val="24"/>
        </w:rPr>
        <w:t>pneumonitis</w:t>
      </w:r>
      <w:proofErr w:type="spellEnd"/>
      <w:r w:rsidRPr="00057FD5">
        <w:rPr>
          <w:rFonts w:cs="StoneSans"/>
          <w:sz w:val="24"/>
          <w:szCs w:val="24"/>
        </w:rPr>
        <w:t xml:space="preserve">, and </w:t>
      </w:r>
      <w:proofErr w:type="spellStart"/>
      <w:r w:rsidRPr="00057FD5">
        <w:rPr>
          <w:rFonts w:cs="StoneSans-Italic"/>
          <w:i/>
          <w:iCs/>
          <w:sz w:val="24"/>
          <w:szCs w:val="24"/>
        </w:rPr>
        <w:t>Aspergillus</w:t>
      </w:r>
      <w:proofErr w:type="spellEnd"/>
      <w:r w:rsidRPr="00057FD5">
        <w:rPr>
          <w:rFonts w:cs="StoneSans-Italic"/>
          <w:i/>
          <w:iCs/>
          <w:sz w:val="24"/>
          <w:szCs w:val="24"/>
        </w:rPr>
        <w:t xml:space="preserve">, </w:t>
      </w:r>
      <w:r w:rsidRPr="00057FD5">
        <w:rPr>
          <w:rFonts w:cs="StoneSans"/>
          <w:sz w:val="24"/>
          <w:szCs w:val="24"/>
        </w:rPr>
        <w:t>a fungus, was identified in the lung specimen.</w:t>
      </w:r>
      <w:r>
        <w:rPr>
          <w:rFonts w:cs="StoneSans"/>
          <w:sz w:val="24"/>
          <w:szCs w:val="24"/>
        </w:rPr>
        <w:t xml:space="preserve"> </w:t>
      </w:r>
      <w:r w:rsidR="00021F57">
        <w:rPr>
          <w:rFonts w:cs="StoneSans"/>
          <w:sz w:val="24"/>
          <w:szCs w:val="24"/>
        </w:rPr>
        <w:t xml:space="preserve"> F</w:t>
      </w:r>
      <w:r w:rsidRPr="00057FD5">
        <w:rPr>
          <w:rFonts w:cs="StoneSans"/>
          <w:sz w:val="24"/>
          <w:szCs w:val="24"/>
        </w:rPr>
        <w:t>ortunately, after appropriate antibiotic therapy, the lesions healed and the child recovered.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057FD5">
        <w:rPr>
          <w:rFonts w:cs="StoneSans"/>
          <w:sz w:val="24"/>
          <w:szCs w:val="24"/>
        </w:rPr>
        <w:t>Further testing revealed that the infant’s neutrophils had a negative reaction in two tests</w:t>
      </w:r>
      <w:r>
        <w:rPr>
          <w:rFonts w:cs="StoneSans"/>
          <w:sz w:val="24"/>
          <w:szCs w:val="24"/>
        </w:rPr>
        <w:t xml:space="preserve"> </w:t>
      </w:r>
      <w:r w:rsidRPr="00057FD5">
        <w:rPr>
          <w:rFonts w:cs="StoneSans"/>
          <w:sz w:val="24"/>
          <w:szCs w:val="24"/>
        </w:rPr>
        <w:t xml:space="preserve">designed to assess phagocyte activity (the </w:t>
      </w:r>
      <w:proofErr w:type="spellStart"/>
      <w:r w:rsidRPr="00057FD5">
        <w:rPr>
          <w:rFonts w:cs="StoneSans"/>
          <w:sz w:val="24"/>
          <w:szCs w:val="24"/>
        </w:rPr>
        <w:t>nitroblue</w:t>
      </w:r>
      <w:proofErr w:type="spellEnd"/>
      <w:r w:rsidRPr="00057FD5">
        <w:rPr>
          <w:rFonts w:cs="StoneSans"/>
          <w:sz w:val="24"/>
          <w:szCs w:val="24"/>
        </w:rPr>
        <w:t xml:space="preserve"> </w:t>
      </w:r>
      <w:proofErr w:type="spellStart"/>
      <w:r w:rsidRPr="00057FD5">
        <w:rPr>
          <w:rFonts w:cs="StoneSans"/>
          <w:sz w:val="24"/>
          <w:szCs w:val="24"/>
        </w:rPr>
        <w:t>tetrazolium</w:t>
      </w:r>
      <w:proofErr w:type="spellEnd"/>
      <w:r w:rsidRPr="00057FD5">
        <w:rPr>
          <w:rFonts w:cs="StoneSans"/>
          <w:sz w:val="24"/>
          <w:szCs w:val="24"/>
        </w:rPr>
        <w:t xml:space="preserve"> test (NBT) and in the</w:t>
      </w:r>
      <w:r>
        <w:rPr>
          <w:rFonts w:cs="StoneSans"/>
          <w:sz w:val="24"/>
          <w:szCs w:val="24"/>
        </w:rPr>
        <w:t xml:space="preserve"> </w:t>
      </w:r>
      <w:proofErr w:type="spellStart"/>
      <w:r w:rsidRPr="00057FD5">
        <w:rPr>
          <w:rFonts w:cs="StoneSans"/>
          <w:sz w:val="24"/>
          <w:szCs w:val="24"/>
        </w:rPr>
        <w:t>eutrophil</w:t>
      </w:r>
      <w:proofErr w:type="spellEnd"/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057FD5">
        <w:rPr>
          <w:rFonts w:cs="StoneSans"/>
          <w:sz w:val="24"/>
          <w:szCs w:val="24"/>
        </w:rPr>
        <w:t>cytochrome</w:t>
      </w:r>
      <w:proofErr w:type="gramEnd"/>
      <w:r w:rsidRPr="00057FD5">
        <w:rPr>
          <w:rFonts w:cs="StoneSans"/>
          <w:sz w:val="24"/>
          <w:szCs w:val="24"/>
        </w:rPr>
        <w:t xml:space="preserve"> </w:t>
      </w:r>
      <w:r w:rsidRPr="00057FD5">
        <w:rPr>
          <w:rFonts w:cs="StoneSans-Italic"/>
          <w:i/>
          <w:iCs/>
          <w:sz w:val="24"/>
          <w:szCs w:val="24"/>
        </w:rPr>
        <w:t xml:space="preserve">b </w:t>
      </w:r>
      <w:r w:rsidRPr="00057FD5">
        <w:rPr>
          <w:rFonts w:cs="StoneSans"/>
          <w:sz w:val="24"/>
          <w:szCs w:val="24"/>
        </w:rPr>
        <w:t>558 assay). These tests monitor the ability of phagocytes to produce toxic oxygen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057FD5">
        <w:rPr>
          <w:rFonts w:cs="StoneSans"/>
          <w:sz w:val="24"/>
          <w:szCs w:val="24"/>
        </w:rPr>
        <w:t>products</w:t>
      </w:r>
      <w:proofErr w:type="gramEnd"/>
      <w:r w:rsidRPr="00057FD5">
        <w:rPr>
          <w:rFonts w:cs="StoneSans"/>
          <w:sz w:val="24"/>
          <w:szCs w:val="24"/>
        </w:rPr>
        <w:t xml:space="preserve"> during a process called the </w:t>
      </w:r>
      <w:r w:rsidRPr="00057FD5">
        <w:rPr>
          <w:rFonts w:cs="StoneSans-Italic"/>
          <w:i/>
          <w:iCs/>
          <w:sz w:val="24"/>
          <w:szCs w:val="24"/>
        </w:rPr>
        <w:t xml:space="preserve">respiratory burst. </w:t>
      </w:r>
      <w:r w:rsidRPr="00057FD5">
        <w:rPr>
          <w:rFonts w:cs="StoneSans"/>
          <w:sz w:val="24"/>
          <w:szCs w:val="24"/>
        </w:rPr>
        <w:t>Based on these data, as well as the boy’s</w:t>
      </w:r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057FD5">
        <w:rPr>
          <w:rFonts w:cs="StoneSans"/>
          <w:sz w:val="24"/>
          <w:szCs w:val="24"/>
        </w:rPr>
        <w:t>history</w:t>
      </w:r>
      <w:proofErr w:type="gramEnd"/>
      <w:r w:rsidRPr="00057FD5">
        <w:rPr>
          <w:rFonts w:cs="StoneSans"/>
          <w:sz w:val="24"/>
          <w:szCs w:val="24"/>
        </w:rPr>
        <w:t>, he was diagnosed with X-linked, cytochrome-negative, chronic granulomatous disease</w:t>
      </w:r>
    </w:p>
    <w:p w:rsid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057FD5">
        <w:rPr>
          <w:rFonts w:cs="StoneSans"/>
          <w:sz w:val="24"/>
          <w:szCs w:val="24"/>
        </w:rPr>
        <w:t>(CGD) of childhood.</w:t>
      </w:r>
      <w:proofErr w:type="gramEnd"/>
    </w:p>
    <w:p w:rsidR="00057FD5" w:rsidRPr="00057FD5" w:rsidRDefault="00057FD5" w:rsidP="00057F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057FD5" w:rsidRPr="00057FD5" w:rsidRDefault="00057FD5" w:rsidP="00057FD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057FD5">
        <w:rPr>
          <w:rFonts w:cs="StoneSans-Italic"/>
          <w:i/>
          <w:iCs/>
          <w:sz w:val="24"/>
          <w:szCs w:val="24"/>
        </w:rPr>
        <w:t>What are some of the signs and symptoms of CGD that this infant exhibited?</w:t>
      </w:r>
    </w:p>
    <w:p w:rsidR="00057FD5" w:rsidRPr="00057FD5" w:rsidRDefault="00057FD5" w:rsidP="00057FD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057FD5">
        <w:rPr>
          <w:rFonts w:cs="StoneSans-Italic"/>
          <w:i/>
          <w:iCs/>
          <w:sz w:val="24"/>
          <w:szCs w:val="24"/>
        </w:rPr>
        <w:t>What is typically the problem with phagocytic function in someone diagnosed with CGD?</w:t>
      </w:r>
    </w:p>
    <w:p w:rsidR="00564BBC" w:rsidRPr="00057FD5" w:rsidRDefault="00057FD5" w:rsidP="00057F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057FD5">
        <w:rPr>
          <w:rFonts w:cs="StoneSans-Italic"/>
          <w:i/>
          <w:iCs/>
          <w:sz w:val="24"/>
          <w:szCs w:val="24"/>
        </w:rPr>
        <w:t>Individuals with this condition are more susceptible to what type of microbial agents?</w:t>
      </w:r>
    </w:p>
    <w:sectPr w:rsidR="00564BBC" w:rsidRPr="00057FD5" w:rsidSect="00207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93B8B"/>
    <w:multiLevelType w:val="hybridMultilevel"/>
    <w:tmpl w:val="2F9E2AF0"/>
    <w:lvl w:ilvl="0" w:tplc="A54867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21F57"/>
    <w:rsid w:val="00057FD5"/>
    <w:rsid w:val="000C66A5"/>
    <w:rsid w:val="000F09C4"/>
    <w:rsid w:val="0010050B"/>
    <w:rsid w:val="001B1BA5"/>
    <w:rsid w:val="00207160"/>
    <w:rsid w:val="00564BBC"/>
    <w:rsid w:val="00570436"/>
    <w:rsid w:val="005F3768"/>
    <w:rsid w:val="00657B56"/>
    <w:rsid w:val="007133A0"/>
    <w:rsid w:val="0074516B"/>
    <w:rsid w:val="007C0FC4"/>
    <w:rsid w:val="007D45B1"/>
    <w:rsid w:val="009E6768"/>
    <w:rsid w:val="00A1501E"/>
    <w:rsid w:val="00AA4245"/>
    <w:rsid w:val="00AE6559"/>
    <w:rsid w:val="00B713B0"/>
    <w:rsid w:val="00C027B5"/>
    <w:rsid w:val="00CD3912"/>
    <w:rsid w:val="00DC17D5"/>
    <w:rsid w:val="00E06362"/>
    <w:rsid w:val="00E65B76"/>
    <w:rsid w:val="00F17168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2013-12-10T15:00:00Z</dcterms:created>
  <dcterms:modified xsi:type="dcterms:W3CDTF">2013-12-10T15:00:00Z</dcterms:modified>
</cp:coreProperties>
</file>