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80" w:rsidRPr="00C61680" w:rsidRDefault="00F16385" w:rsidP="00C61680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Controlling Microbial Levels at a Water Park Case Study</w:t>
      </w:r>
    </w:p>
    <w:p w:rsidR="00C61680" w:rsidRPr="00C61680" w:rsidRDefault="00C61680" w:rsidP="00C61680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C61680" w:rsidRPr="00C61680" w:rsidRDefault="00C61680" w:rsidP="00C6168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F16385">
        <w:rPr>
          <w:rFonts w:cs="AvenirLTStd-Heavy"/>
          <w:bCs/>
          <w:sz w:val="24"/>
          <w:szCs w:val="24"/>
        </w:rPr>
        <w:t>The popular interactive water</w:t>
      </w:r>
      <w:r w:rsidRPr="00C61680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fountain, or “</w:t>
      </w:r>
      <w:proofErr w:type="spellStart"/>
      <w:r w:rsidRPr="00C61680">
        <w:rPr>
          <w:rFonts w:cs="AvenirLTStd-Book"/>
          <w:color w:val="000000"/>
          <w:sz w:val="24"/>
          <w:szCs w:val="24"/>
        </w:rPr>
        <w:t>sprayground</w:t>
      </w:r>
      <w:proofErr w:type="spellEnd"/>
      <w:r w:rsidRPr="00C61680">
        <w:rPr>
          <w:rFonts w:cs="AvenirLTStd-Book"/>
          <w:color w:val="000000"/>
          <w:sz w:val="24"/>
          <w:szCs w:val="24"/>
        </w:rPr>
        <w:t>,” at Seneca Lake State Park closed for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 xml:space="preserve">remainder of the summer on August 17, 2005, after the New York State </w:t>
      </w:r>
      <w:proofErr w:type="gramStart"/>
      <w:r w:rsidRPr="00C61680">
        <w:rPr>
          <w:rFonts w:cs="AvenirLTStd-Book"/>
          <w:color w:val="000000"/>
          <w:sz w:val="24"/>
          <w:szCs w:val="24"/>
        </w:rPr>
        <w:t xml:space="preserve">Health </w:t>
      </w:r>
      <w:r w:rsidR="00F16385">
        <w:rPr>
          <w:rFonts w:cs="AvenirLTStd-Book"/>
          <w:color w:val="000000"/>
          <w:sz w:val="24"/>
          <w:szCs w:val="24"/>
        </w:rPr>
        <w:t xml:space="preserve"> C</w:t>
      </w:r>
      <w:r w:rsidRPr="00C61680">
        <w:rPr>
          <w:rFonts w:cs="AvenirLTStd-Book"/>
          <w:color w:val="000000"/>
          <w:sz w:val="24"/>
          <w:szCs w:val="24"/>
        </w:rPr>
        <w:t>ommissioner</w:t>
      </w:r>
      <w:proofErr w:type="gramEnd"/>
      <w:r w:rsidRPr="00C61680">
        <w:rPr>
          <w:rFonts w:cs="AvenirLTStd-Book"/>
          <w:color w:val="000000"/>
          <w:sz w:val="24"/>
          <w:szCs w:val="24"/>
        </w:rPr>
        <w:t xml:space="preserve"> announced that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an outbreak of cryptosporidiosis had been traced to the park. Cryptosporidiosis results from ingesting water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 xml:space="preserve">contaminated with the protozoan </w:t>
      </w:r>
      <w:r w:rsidR="00F16385" w:rsidRPr="00F16385">
        <w:rPr>
          <w:rFonts w:cs="AvenirLTStd-Book"/>
          <w:i/>
          <w:color w:val="000000"/>
          <w:sz w:val="24"/>
          <w:szCs w:val="24"/>
        </w:rPr>
        <w:t>C</w:t>
      </w:r>
      <w:r w:rsidRPr="00C61680">
        <w:rPr>
          <w:rFonts w:cs="AvenirLTStd-BookOblique"/>
          <w:i/>
          <w:iCs/>
          <w:color w:val="000000"/>
          <w:sz w:val="24"/>
          <w:szCs w:val="24"/>
        </w:rPr>
        <w:t xml:space="preserve">ryptosporidium </w:t>
      </w:r>
      <w:proofErr w:type="spellStart"/>
      <w:r w:rsidRPr="00C61680">
        <w:rPr>
          <w:rFonts w:cs="AvenirLTStd-BookOblique"/>
          <w:i/>
          <w:iCs/>
          <w:color w:val="000000"/>
          <w:sz w:val="24"/>
          <w:szCs w:val="24"/>
        </w:rPr>
        <w:t>parvum</w:t>
      </w:r>
      <w:proofErr w:type="spellEnd"/>
      <w:r w:rsidRPr="00C61680">
        <w:rPr>
          <w:rFonts w:cs="AvenirLTStd-Book"/>
          <w:color w:val="000000"/>
          <w:sz w:val="24"/>
          <w:szCs w:val="24"/>
        </w:rPr>
        <w:t>. Symptoms include diarrhea, vomiting, fever,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abdominal cramps.</w:t>
      </w:r>
    </w:p>
    <w:p w:rsidR="00C61680" w:rsidRPr="00C61680" w:rsidRDefault="00C61680" w:rsidP="00C6168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16385" w:rsidRDefault="00C61680" w:rsidP="00F163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DA4D26"/>
          <w:sz w:val="24"/>
          <w:szCs w:val="24"/>
        </w:rPr>
      </w:pPr>
      <w:r w:rsidRPr="00C61680">
        <w:rPr>
          <w:rFonts w:cs="AvenirLTStd-Book"/>
          <w:color w:val="000000"/>
          <w:sz w:val="24"/>
          <w:szCs w:val="24"/>
        </w:rPr>
        <w:t xml:space="preserve">The </w:t>
      </w:r>
      <w:proofErr w:type="spellStart"/>
      <w:r w:rsidRPr="00C61680">
        <w:rPr>
          <w:rFonts w:cs="AvenirLTStd-Book"/>
          <w:color w:val="000000"/>
          <w:sz w:val="24"/>
          <w:szCs w:val="24"/>
        </w:rPr>
        <w:t>sprayground</w:t>
      </w:r>
      <w:proofErr w:type="spellEnd"/>
      <w:r w:rsidRPr="00C61680">
        <w:rPr>
          <w:rFonts w:cs="AvenirLTStd-Book"/>
          <w:color w:val="000000"/>
          <w:sz w:val="24"/>
          <w:szCs w:val="24"/>
        </w:rPr>
        <w:t xml:space="preserve"> itself is an 11,000-square-foot deck with hundreds of individual water jets, spouts,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hoses. After being sprayed into the air, water flows back into a holding tank below the play area before being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recycled through the jets once again. This type of water playground has become immensely popular because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61680">
        <w:rPr>
          <w:rFonts w:cs="AvenirLTStd-Book"/>
          <w:color w:val="000000"/>
          <w:sz w:val="24"/>
          <w:szCs w:val="24"/>
        </w:rPr>
        <w:t>even small children can play there, without the risk of drowning commonly associated with swimming pools.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C61680" w:rsidRPr="00C61680" w:rsidRDefault="00C61680" w:rsidP="00C61680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F16385" w:rsidRPr="00F16385" w:rsidRDefault="00F16385" w:rsidP="00F163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DA4D26"/>
          <w:sz w:val="24"/>
          <w:szCs w:val="24"/>
        </w:rPr>
      </w:pPr>
      <w:bookmarkStart w:id="0" w:name="_GoBack"/>
      <w:bookmarkEnd w:id="0"/>
      <w:r w:rsidRPr="00F16385">
        <w:rPr>
          <w:rFonts w:cs="AvenirLTStd-Book"/>
          <w:color w:val="000000"/>
          <w:sz w:val="24"/>
          <w:szCs w:val="24"/>
        </w:rPr>
        <w:t xml:space="preserve">Would </w:t>
      </w:r>
      <w:r w:rsidRPr="00F16385">
        <w:rPr>
          <w:rFonts w:cs="AvenirLTStd-BookOblique"/>
          <w:i/>
          <w:iCs/>
          <w:color w:val="000000"/>
          <w:sz w:val="24"/>
          <w:szCs w:val="24"/>
        </w:rPr>
        <w:t xml:space="preserve">Cryptosporidium </w:t>
      </w:r>
      <w:r w:rsidRPr="00F16385">
        <w:rPr>
          <w:rFonts w:cs="AvenirLTStd-Book"/>
          <w:color w:val="000000"/>
          <w:sz w:val="24"/>
          <w:szCs w:val="24"/>
        </w:rPr>
        <w:t>be more or less resistant to physical and chemical methods of control than most other microbes?</w:t>
      </w:r>
    </w:p>
    <w:p w:rsidR="00F16385" w:rsidRPr="00F16385" w:rsidRDefault="00F16385" w:rsidP="00F16385">
      <w:pPr>
        <w:pStyle w:val="ListParagraph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81B8D" w:rsidRPr="00C61680" w:rsidRDefault="00C61680" w:rsidP="00C616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61680">
        <w:rPr>
          <w:rFonts w:cs="AvenirLTStd-Book"/>
          <w:color w:val="000000"/>
          <w:sz w:val="24"/>
          <w:szCs w:val="24"/>
        </w:rPr>
        <w:t>What level of microbial control would be most appropriate in this case: disinfection, sterilization, antisepsis, or decontamination?</w:t>
      </w:r>
    </w:p>
    <w:sectPr w:rsidR="00881B8D" w:rsidRPr="00C61680" w:rsidSect="00FA7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42400"/>
    <w:multiLevelType w:val="hybridMultilevel"/>
    <w:tmpl w:val="A3384A52"/>
    <w:lvl w:ilvl="0" w:tplc="EB1401F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1680"/>
    <w:rsid w:val="00881B8D"/>
    <w:rsid w:val="00C61680"/>
    <w:rsid w:val="00F16385"/>
    <w:rsid w:val="00FA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2013-12-09T21:55:00Z</dcterms:created>
  <dcterms:modified xsi:type="dcterms:W3CDTF">2013-12-09T21:55:00Z</dcterms:modified>
</cp:coreProperties>
</file>