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50B" w:rsidRDefault="00D06D54" w:rsidP="0010050B">
      <w:pPr>
        <w:rPr>
          <w:sz w:val="24"/>
          <w:szCs w:val="24"/>
        </w:rPr>
      </w:pPr>
      <w:r>
        <w:rPr>
          <w:sz w:val="24"/>
          <w:szCs w:val="24"/>
        </w:rPr>
        <w:t xml:space="preserve">Testing for HIV following a </w:t>
      </w:r>
      <w:proofErr w:type="spellStart"/>
      <w:r>
        <w:rPr>
          <w:sz w:val="24"/>
          <w:szCs w:val="24"/>
        </w:rPr>
        <w:t>Needlestick</w:t>
      </w:r>
      <w:proofErr w:type="spellEnd"/>
      <w:r w:rsidR="00B713B0" w:rsidRPr="00D17E8B">
        <w:rPr>
          <w:sz w:val="24"/>
          <w:szCs w:val="24"/>
        </w:rPr>
        <w:t xml:space="preserve"> Case </w:t>
      </w:r>
      <w:r w:rsidR="009E6768" w:rsidRPr="00D17E8B">
        <w:rPr>
          <w:sz w:val="24"/>
          <w:szCs w:val="24"/>
        </w:rPr>
        <w:t>Study</w:t>
      </w:r>
      <w:r w:rsidR="007133A0" w:rsidRPr="00D17E8B">
        <w:rPr>
          <w:sz w:val="24"/>
          <w:szCs w:val="24"/>
        </w:rPr>
        <w:t xml:space="preserve"> </w:t>
      </w:r>
    </w:p>
    <w:p w:rsidR="005B109B" w:rsidRDefault="005B109B" w:rsidP="005B109B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r w:rsidRPr="005B109B">
        <w:rPr>
          <w:rFonts w:cs="Palatino-Roman"/>
          <w:sz w:val="24"/>
          <w:szCs w:val="24"/>
        </w:rPr>
        <w:t>W</w:t>
      </w:r>
      <w:r w:rsidRPr="005B109B">
        <w:rPr>
          <w:rFonts w:cs="StoneSans"/>
          <w:sz w:val="24"/>
          <w:szCs w:val="24"/>
        </w:rPr>
        <w:t>hile attempting to start an intravenous line on an AIDS patient, a registered nurse</w:t>
      </w:r>
      <w:r>
        <w:rPr>
          <w:rFonts w:cs="StoneSans"/>
          <w:sz w:val="24"/>
          <w:szCs w:val="24"/>
        </w:rPr>
        <w:t xml:space="preserve"> </w:t>
      </w:r>
      <w:r w:rsidRPr="005B109B">
        <w:rPr>
          <w:rFonts w:cs="StoneSans"/>
          <w:sz w:val="24"/>
          <w:szCs w:val="24"/>
        </w:rPr>
        <w:t>punctured her finger with a visibly bloody needle. She was observing proper</w:t>
      </w:r>
      <w:r>
        <w:rPr>
          <w:rFonts w:cs="StoneSans"/>
          <w:sz w:val="24"/>
          <w:szCs w:val="24"/>
        </w:rPr>
        <w:t xml:space="preserve"> </w:t>
      </w:r>
      <w:r w:rsidRPr="005B109B">
        <w:rPr>
          <w:rFonts w:cs="StoneSans"/>
          <w:sz w:val="24"/>
          <w:szCs w:val="24"/>
        </w:rPr>
        <w:t>universal precautions, including wearing two layers of gloves and having proper</w:t>
      </w:r>
      <w:r>
        <w:rPr>
          <w:rFonts w:cs="StoneSans"/>
          <w:sz w:val="24"/>
          <w:szCs w:val="24"/>
        </w:rPr>
        <w:t xml:space="preserve"> </w:t>
      </w:r>
      <w:r w:rsidRPr="005B109B">
        <w:rPr>
          <w:rFonts w:cs="StoneSans"/>
          <w:sz w:val="24"/>
          <w:szCs w:val="24"/>
        </w:rPr>
        <w:t>needle disposal equipment nearby. Despite these precautions, the needlestick injury occurred.</w:t>
      </w:r>
      <w:r>
        <w:rPr>
          <w:rFonts w:cs="StoneSans"/>
          <w:sz w:val="24"/>
          <w:szCs w:val="24"/>
        </w:rPr>
        <w:t xml:space="preserve"> </w:t>
      </w:r>
      <w:r w:rsidRPr="005B109B">
        <w:rPr>
          <w:rFonts w:cs="StoneSans"/>
          <w:sz w:val="24"/>
          <w:szCs w:val="24"/>
        </w:rPr>
        <w:t>Fearing that she would receive a poor performance evaluation for making such a mistake, she</w:t>
      </w:r>
      <w:r>
        <w:rPr>
          <w:rFonts w:cs="StoneSans"/>
          <w:sz w:val="24"/>
          <w:szCs w:val="24"/>
        </w:rPr>
        <w:t xml:space="preserve"> </w:t>
      </w:r>
      <w:r w:rsidRPr="005B109B">
        <w:rPr>
          <w:rFonts w:cs="StoneSans"/>
          <w:sz w:val="24"/>
          <w:szCs w:val="24"/>
        </w:rPr>
        <w:t>did not report the incident to her supervisor, rather electing to simply scrub the wound with</w:t>
      </w:r>
      <w:r>
        <w:rPr>
          <w:rFonts w:cs="StoneSans"/>
          <w:sz w:val="24"/>
          <w:szCs w:val="24"/>
        </w:rPr>
        <w:t xml:space="preserve"> </w:t>
      </w:r>
      <w:r w:rsidRPr="005B109B">
        <w:rPr>
          <w:rFonts w:cs="StoneSans"/>
          <w:sz w:val="24"/>
          <w:szCs w:val="24"/>
        </w:rPr>
        <w:t>soap. Had she reported the incident, she would have been given postexposure prophylaxis</w:t>
      </w:r>
      <w:r>
        <w:rPr>
          <w:rFonts w:cs="StoneSans"/>
          <w:sz w:val="24"/>
          <w:szCs w:val="24"/>
        </w:rPr>
        <w:t xml:space="preserve"> </w:t>
      </w:r>
      <w:r w:rsidRPr="005B109B">
        <w:rPr>
          <w:rFonts w:cs="StoneSans"/>
          <w:sz w:val="24"/>
          <w:szCs w:val="24"/>
        </w:rPr>
        <w:t>consisting of two reverse transcriptase inhibitors and a protease inhibitor for approximately</w:t>
      </w:r>
      <w:r>
        <w:rPr>
          <w:rFonts w:cs="StoneSans"/>
          <w:sz w:val="24"/>
          <w:szCs w:val="24"/>
        </w:rPr>
        <w:t xml:space="preserve"> </w:t>
      </w:r>
      <w:r w:rsidRPr="005B109B">
        <w:rPr>
          <w:rFonts w:cs="StoneSans"/>
          <w:sz w:val="24"/>
          <w:szCs w:val="24"/>
        </w:rPr>
        <w:t>1 month to prevent an HIV infection. Three months after the incident, fear of becoming HIV</w:t>
      </w:r>
      <w:r>
        <w:rPr>
          <w:rFonts w:cs="StoneSans"/>
          <w:sz w:val="24"/>
          <w:szCs w:val="24"/>
        </w:rPr>
        <w:t xml:space="preserve"> </w:t>
      </w:r>
      <w:r w:rsidRPr="005B109B">
        <w:rPr>
          <w:rFonts w:cs="StoneSans"/>
          <w:sz w:val="24"/>
          <w:szCs w:val="24"/>
        </w:rPr>
        <w:t>positive led her to consult with her family physician. The family physician drew a blood sample</w:t>
      </w:r>
      <w:r>
        <w:rPr>
          <w:rFonts w:cs="StoneSans"/>
          <w:sz w:val="24"/>
          <w:szCs w:val="24"/>
        </w:rPr>
        <w:t xml:space="preserve"> </w:t>
      </w:r>
      <w:r w:rsidRPr="005B109B">
        <w:rPr>
          <w:rFonts w:cs="StoneSans"/>
          <w:sz w:val="24"/>
          <w:szCs w:val="24"/>
        </w:rPr>
        <w:t>from the nurse and sent it to a qualified testing facility.</w:t>
      </w:r>
    </w:p>
    <w:p w:rsidR="005B109B" w:rsidRPr="005B109B" w:rsidRDefault="005B109B" w:rsidP="005B109B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</w:p>
    <w:p w:rsidR="005B109B" w:rsidRDefault="005B109B" w:rsidP="005B109B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r w:rsidRPr="005B109B">
        <w:rPr>
          <w:rFonts w:cs="StoneSans"/>
          <w:sz w:val="24"/>
          <w:szCs w:val="24"/>
        </w:rPr>
        <w:t xml:space="preserve">The testing facility employed a test called an enzyme-linked </w:t>
      </w:r>
      <w:proofErr w:type="spellStart"/>
      <w:r w:rsidRPr="005B109B">
        <w:rPr>
          <w:rFonts w:cs="StoneSans"/>
          <w:sz w:val="24"/>
          <w:szCs w:val="24"/>
        </w:rPr>
        <w:t>immunosorbent</w:t>
      </w:r>
      <w:proofErr w:type="spellEnd"/>
      <w:r w:rsidRPr="005B109B">
        <w:rPr>
          <w:rFonts w:cs="StoneSans"/>
          <w:sz w:val="24"/>
          <w:szCs w:val="24"/>
        </w:rPr>
        <w:t xml:space="preserve"> assay (ELISA)</w:t>
      </w:r>
      <w:r w:rsidR="00D06D54">
        <w:rPr>
          <w:rFonts w:cs="StoneSans"/>
          <w:sz w:val="24"/>
          <w:szCs w:val="24"/>
        </w:rPr>
        <w:t xml:space="preserve"> </w:t>
      </w:r>
      <w:r w:rsidRPr="005B109B">
        <w:rPr>
          <w:rFonts w:cs="StoneSans"/>
          <w:sz w:val="24"/>
          <w:szCs w:val="24"/>
        </w:rPr>
        <w:t>commonly used to screen blood for exposure to HIV by detecting antibodies to</w:t>
      </w:r>
      <w:r w:rsidR="00D06D54">
        <w:rPr>
          <w:rFonts w:cs="StoneSans"/>
          <w:sz w:val="24"/>
          <w:szCs w:val="24"/>
        </w:rPr>
        <w:t xml:space="preserve"> </w:t>
      </w:r>
      <w:r w:rsidRPr="005B109B">
        <w:rPr>
          <w:rFonts w:cs="StoneSans"/>
          <w:sz w:val="24"/>
          <w:szCs w:val="24"/>
        </w:rPr>
        <w:t>the virus. This screening test yielded a positive result—therefore, the test was repeated with the</w:t>
      </w:r>
      <w:r>
        <w:rPr>
          <w:rFonts w:cs="StoneSans"/>
          <w:sz w:val="24"/>
          <w:szCs w:val="24"/>
        </w:rPr>
        <w:t xml:space="preserve"> </w:t>
      </w:r>
      <w:r w:rsidRPr="005B109B">
        <w:rPr>
          <w:rFonts w:cs="StoneSans"/>
          <w:sz w:val="24"/>
          <w:szCs w:val="24"/>
        </w:rPr>
        <w:t xml:space="preserve">same result. As a confirmatory step, Western blot analysis of the nurse’s blood </w:t>
      </w:r>
      <w:r>
        <w:rPr>
          <w:rFonts w:cs="StoneSans"/>
          <w:sz w:val="24"/>
          <w:szCs w:val="24"/>
        </w:rPr>
        <w:t>d</w:t>
      </w:r>
      <w:r w:rsidRPr="005B109B">
        <w:rPr>
          <w:rFonts w:cs="StoneSans"/>
          <w:sz w:val="24"/>
          <w:szCs w:val="24"/>
        </w:rPr>
        <w:t>emonstrated an</w:t>
      </w:r>
      <w:r>
        <w:rPr>
          <w:rFonts w:cs="StoneSans"/>
          <w:sz w:val="24"/>
          <w:szCs w:val="24"/>
        </w:rPr>
        <w:t xml:space="preserve"> </w:t>
      </w:r>
      <w:r w:rsidRPr="005B109B">
        <w:rPr>
          <w:rFonts w:cs="StoneSans"/>
          <w:sz w:val="24"/>
          <w:szCs w:val="24"/>
        </w:rPr>
        <w:t>indeterminate result. Based on the Western blot results, a second confirmatory test, called the</w:t>
      </w:r>
      <w:r>
        <w:rPr>
          <w:rFonts w:cs="StoneSans"/>
          <w:sz w:val="24"/>
          <w:szCs w:val="24"/>
        </w:rPr>
        <w:t xml:space="preserve"> </w:t>
      </w:r>
      <w:r w:rsidRPr="005B109B">
        <w:rPr>
          <w:rFonts w:cs="StoneSans"/>
          <w:sz w:val="24"/>
          <w:szCs w:val="24"/>
        </w:rPr>
        <w:t>p24 antigen capture assay, was used to test the blood. This test utilizes an antibody sandwich</w:t>
      </w:r>
      <w:r>
        <w:rPr>
          <w:rFonts w:cs="StoneSans"/>
          <w:sz w:val="24"/>
          <w:szCs w:val="24"/>
        </w:rPr>
        <w:t xml:space="preserve"> </w:t>
      </w:r>
      <w:r w:rsidRPr="005B109B">
        <w:rPr>
          <w:rFonts w:cs="StoneSans"/>
          <w:sz w:val="24"/>
          <w:szCs w:val="24"/>
        </w:rPr>
        <w:t>ELISA method to detect HIV p24 protein in the blood specimen. The p24 antigen capture assay</w:t>
      </w:r>
      <w:r>
        <w:rPr>
          <w:rFonts w:cs="StoneSans"/>
          <w:sz w:val="24"/>
          <w:szCs w:val="24"/>
        </w:rPr>
        <w:t xml:space="preserve"> </w:t>
      </w:r>
      <w:r w:rsidRPr="005B109B">
        <w:rPr>
          <w:rFonts w:cs="StoneSans"/>
          <w:sz w:val="24"/>
          <w:szCs w:val="24"/>
        </w:rPr>
        <w:t>yielded negative results, confirming that the nurse was not HIV infected.</w:t>
      </w:r>
    </w:p>
    <w:p w:rsidR="005B109B" w:rsidRPr="005B109B" w:rsidRDefault="005B109B" w:rsidP="005B109B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</w:p>
    <w:p w:rsidR="005B109B" w:rsidRPr="005B109B" w:rsidRDefault="005B109B" w:rsidP="005B109B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="StoneSans-Italic"/>
          <w:i/>
          <w:iCs/>
          <w:sz w:val="24"/>
          <w:szCs w:val="24"/>
        </w:rPr>
      </w:pPr>
      <w:r w:rsidRPr="005B109B">
        <w:rPr>
          <w:rFonts w:cs="StoneSans-Italic"/>
          <w:i/>
          <w:iCs/>
          <w:sz w:val="24"/>
          <w:szCs w:val="24"/>
        </w:rPr>
        <w:t>Why might the nurse test positive by the ELISA screening test but negative by the p24 antigen</w:t>
      </w:r>
      <w:r>
        <w:rPr>
          <w:rFonts w:cs="StoneSans-Italic"/>
          <w:i/>
          <w:iCs/>
          <w:sz w:val="24"/>
          <w:szCs w:val="24"/>
        </w:rPr>
        <w:t xml:space="preserve"> </w:t>
      </w:r>
      <w:r w:rsidRPr="005B109B">
        <w:rPr>
          <w:rFonts w:cs="StoneSans-Italic"/>
          <w:i/>
          <w:iCs/>
          <w:sz w:val="24"/>
          <w:szCs w:val="24"/>
        </w:rPr>
        <w:t>capture assay confirmatory test? What is another term for this ELISA test result?</w:t>
      </w:r>
    </w:p>
    <w:p w:rsidR="005B109B" w:rsidRPr="005B109B" w:rsidRDefault="005B109B" w:rsidP="005B109B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="StoneSans-Italic"/>
          <w:i/>
          <w:iCs/>
          <w:sz w:val="24"/>
          <w:szCs w:val="24"/>
        </w:rPr>
      </w:pPr>
      <w:r w:rsidRPr="005B109B">
        <w:rPr>
          <w:rFonts w:cs="StoneSans-Italic"/>
          <w:i/>
          <w:iCs/>
          <w:sz w:val="24"/>
          <w:szCs w:val="24"/>
        </w:rPr>
        <w:t>How common are “sharps” injuries among health care workers?</w:t>
      </w:r>
    </w:p>
    <w:p w:rsidR="000E41AB" w:rsidRPr="005B109B" w:rsidRDefault="005B109B" w:rsidP="005B109B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5B109B">
        <w:rPr>
          <w:rFonts w:cs="StoneSans-Italic"/>
          <w:i/>
          <w:iCs/>
          <w:sz w:val="24"/>
          <w:szCs w:val="24"/>
        </w:rPr>
        <w:t>How likely is it that a person would become HIV positive after being punctured by an HIV-contaminated needle?</w:t>
      </w:r>
    </w:p>
    <w:sectPr w:rsidR="000E41AB" w:rsidRPr="005B109B" w:rsidSect="00375B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toneSan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mercialPiBT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846F6"/>
    <w:multiLevelType w:val="hybridMultilevel"/>
    <w:tmpl w:val="6760488C"/>
    <w:lvl w:ilvl="0" w:tplc="7BBC3E7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525AD"/>
    <w:multiLevelType w:val="hybridMultilevel"/>
    <w:tmpl w:val="EC04F3B0"/>
    <w:lvl w:ilvl="0" w:tplc="DDC6B75C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674BE"/>
    <w:multiLevelType w:val="hybridMultilevel"/>
    <w:tmpl w:val="799A940E"/>
    <w:lvl w:ilvl="0" w:tplc="E6E6B752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B913E4"/>
    <w:multiLevelType w:val="hybridMultilevel"/>
    <w:tmpl w:val="CB6C945E"/>
    <w:lvl w:ilvl="0" w:tplc="6B0C2550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88467B"/>
    <w:multiLevelType w:val="hybridMultilevel"/>
    <w:tmpl w:val="4CDE55AC"/>
    <w:lvl w:ilvl="0" w:tplc="CB74CC1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ommercialPiBT-Regular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EB760C"/>
    <w:multiLevelType w:val="hybridMultilevel"/>
    <w:tmpl w:val="BE2C346C"/>
    <w:lvl w:ilvl="0" w:tplc="3FC4CA0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ommercialPiBT-Regul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8933E4"/>
    <w:multiLevelType w:val="hybridMultilevel"/>
    <w:tmpl w:val="A59E3D2E"/>
    <w:lvl w:ilvl="0" w:tplc="BAB09E4E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F93B8B"/>
    <w:multiLevelType w:val="hybridMultilevel"/>
    <w:tmpl w:val="2F9E2AF0"/>
    <w:lvl w:ilvl="0" w:tplc="A548678E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2111BE"/>
    <w:multiLevelType w:val="hybridMultilevel"/>
    <w:tmpl w:val="A0A09F48"/>
    <w:lvl w:ilvl="0" w:tplc="FAE482F0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ommercialPiBT-Regular" w:hint="default"/>
        <w:color w:val="004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0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09C4"/>
    <w:rsid w:val="00057FD5"/>
    <w:rsid w:val="000C66A5"/>
    <w:rsid w:val="000E41AB"/>
    <w:rsid w:val="000F09C4"/>
    <w:rsid w:val="0010050B"/>
    <w:rsid w:val="001B1BA5"/>
    <w:rsid w:val="00375B54"/>
    <w:rsid w:val="003A6792"/>
    <w:rsid w:val="00564BBC"/>
    <w:rsid w:val="00570436"/>
    <w:rsid w:val="005B109B"/>
    <w:rsid w:val="005D20C4"/>
    <w:rsid w:val="005F3768"/>
    <w:rsid w:val="00657B56"/>
    <w:rsid w:val="007133A0"/>
    <w:rsid w:val="0074516B"/>
    <w:rsid w:val="007C0FC4"/>
    <w:rsid w:val="007D45B1"/>
    <w:rsid w:val="009C7FE6"/>
    <w:rsid w:val="009E6768"/>
    <w:rsid w:val="00A1501E"/>
    <w:rsid w:val="00A342C7"/>
    <w:rsid w:val="00AA4245"/>
    <w:rsid w:val="00AE6559"/>
    <w:rsid w:val="00B713B0"/>
    <w:rsid w:val="00C027B5"/>
    <w:rsid w:val="00C650F6"/>
    <w:rsid w:val="00CA69E3"/>
    <w:rsid w:val="00CD3912"/>
    <w:rsid w:val="00D06D54"/>
    <w:rsid w:val="00D17E8B"/>
    <w:rsid w:val="00DC17D5"/>
    <w:rsid w:val="00DF4AD2"/>
    <w:rsid w:val="00E06362"/>
    <w:rsid w:val="00E65B76"/>
    <w:rsid w:val="00E91A6C"/>
    <w:rsid w:val="00F17168"/>
    <w:rsid w:val="00F42B45"/>
    <w:rsid w:val="00FC5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B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3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3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2013-12-10T15:33:00Z</dcterms:created>
  <dcterms:modified xsi:type="dcterms:W3CDTF">2013-12-10T15:33:00Z</dcterms:modified>
</cp:coreProperties>
</file>