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A2" w:rsidRDefault="00682F8F">
      <w:r>
        <w:t>(DNA) Fingerprinting the Culprit in Food Poisoning Case Study</w:t>
      </w:r>
    </w:p>
    <w:p w:rsidR="00F04E10" w:rsidRDefault="00F04E10" w:rsidP="00F04E1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682F8F">
        <w:rPr>
          <w:rFonts w:cs="AvenirLTStd-Heavy"/>
          <w:bCs/>
          <w:sz w:val="24"/>
          <w:szCs w:val="24"/>
        </w:rPr>
        <w:t>A group of scientists</w:t>
      </w:r>
      <w:r w:rsidRPr="00F04E10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 xml:space="preserve">at the Centers for Disease Control (CDC) noted 13 cases of </w:t>
      </w:r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Salmonella </w:t>
      </w:r>
      <w:proofErr w:type="spellStart"/>
      <w:r w:rsidRPr="00F04E10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infection in sick people in a dozen states during November 2008. The typical symptoms of salmonellosis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(infection with salmonella) include vomiting and diarrhea, and may result from ingesting any of more than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 xml:space="preserve">1,500 different </w:t>
      </w:r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strains, </w:t>
      </w:r>
      <w:r w:rsidRPr="00F04E10">
        <w:rPr>
          <w:rFonts w:cs="AvenirLTStd-Book"/>
          <w:color w:val="000000"/>
          <w:sz w:val="24"/>
          <w:szCs w:val="24"/>
        </w:rPr>
        <w:t xml:space="preserve">or unique subspecies, of </w:t>
      </w:r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S. </w:t>
      </w:r>
      <w:proofErr w:type="spellStart"/>
      <w:r w:rsidRPr="00F04E10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. </w:t>
      </w:r>
      <w:r w:rsidRPr="00F04E10">
        <w:rPr>
          <w:rFonts w:cs="AvenirLTStd-Book"/>
          <w:color w:val="000000"/>
          <w:sz w:val="24"/>
          <w:szCs w:val="24"/>
        </w:rPr>
        <w:t>Two weeks later, a similar outbreak of 27 cases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the disease, spread across 14 states, was found to be caused by the same strain of the organism seen in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first outbreak. By February 2009, 682 people from 46 states and Canada had become infected, nine had died,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a large corporation had filed for bankruptcy, and several criminal investigations had begun.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F04E10" w:rsidRDefault="00F04E10" w:rsidP="00F04E1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F04E10" w:rsidRPr="00F04E10" w:rsidRDefault="00F04E10" w:rsidP="00F04E1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proofErr w:type="spellStart"/>
      <w:r w:rsidRPr="00F04E10">
        <w:rPr>
          <w:rFonts w:cs="AvenirLTStd-Book"/>
          <w:color w:val="000000"/>
          <w:sz w:val="24"/>
          <w:szCs w:val="24"/>
        </w:rPr>
        <w:t>PulseNet</w:t>
      </w:r>
      <w:proofErr w:type="spellEnd"/>
      <w:r w:rsidRPr="00F04E10">
        <w:rPr>
          <w:rFonts w:cs="AvenirLTStd-Book"/>
          <w:color w:val="000000"/>
          <w:sz w:val="24"/>
          <w:szCs w:val="24"/>
        </w:rPr>
        <w:t xml:space="preserve"> is a branch of the CDC that seeks to identify food-borne disease clusters by carefully studying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the bacterial isolates thought to be the source of an outbreak. Usually this means obtaining DNA profiles,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 xml:space="preserve">called </w:t>
      </w:r>
      <w:r w:rsidRPr="00F04E10">
        <w:rPr>
          <w:rFonts w:cs="AvenirLTStd-BookOblique"/>
          <w:i/>
          <w:iCs/>
          <w:color w:val="000000"/>
          <w:sz w:val="24"/>
          <w:szCs w:val="24"/>
        </w:rPr>
        <w:t>fingerprints</w:t>
      </w:r>
      <w:r w:rsidRPr="00F04E10">
        <w:rPr>
          <w:rFonts w:cs="AvenirLTStd-Book"/>
          <w:color w:val="000000"/>
          <w:sz w:val="24"/>
          <w:szCs w:val="24"/>
        </w:rPr>
        <w:t xml:space="preserve">, of each bacterium and using that information to compare </w:t>
      </w:r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isolates </w:t>
      </w:r>
      <w:r w:rsidRPr="00F04E10">
        <w:rPr>
          <w:rFonts w:cs="AvenirLTStd-Book"/>
          <w:color w:val="000000"/>
          <w:sz w:val="24"/>
          <w:szCs w:val="24"/>
        </w:rPr>
        <w:t>(isolated strains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bacteria) from different outbreaks. Because the fingerprints from the two outbreak strains in this case were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 xml:space="preserve">similar to one another—but also different from any fingerprint within the </w:t>
      </w:r>
      <w:proofErr w:type="spellStart"/>
      <w:r w:rsidRPr="00F04E10">
        <w:rPr>
          <w:rFonts w:cs="AvenirLTStd-Book"/>
          <w:color w:val="000000"/>
          <w:sz w:val="24"/>
          <w:szCs w:val="24"/>
        </w:rPr>
        <w:t>PulseNet</w:t>
      </w:r>
      <w:proofErr w:type="spellEnd"/>
      <w:r w:rsidRPr="00F04E10">
        <w:rPr>
          <w:rFonts w:cs="AvenirLTStd-Book"/>
          <w:color w:val="000000"/>
          <w:sz w:val="24"/>
          <w:szCs w:val="24"/>
        </w:rPr>
        <w:t xml:space="preserve"> database—CDC scientists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initiated an epidemiological investigation.</w:t>
      </w:r>
    </w:p>
    <w:p w:rsidR="00F04E10" w:rsidRDefault="00F04E10" w:rsidP="00F04E10">
      <w:pPr>
        <w:autoSpaceDE w:val="0"/>
        <w:autoSpaceDN w:val="0"/>
        <w:adjustRightInd w:val="0"/>
        <w:spacing w:after="0" w:line="240" w:lineRule="auto"/>
        <w:rPr>
          <w:rFonts w:cs="AvenirLTStd-BookOblique"/>
          <w:i/>
          <w:iCs/>
          <w:color w:val="000000"/>
          <w:sz w:val="24"/>
          <w:szCs w:val="24"/>
        </w:rPr>
      </w:pPr>
    </w:p>
    <w:p w:rsidR="00F04E10" w:rsidRDefault="00F04E10" w:rsidP="00F04E1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S. </w:t>
      </w:r>
      <w:proofErr w:type="spellStart"/>
      <w:r w:rsidRPr="00F04E10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was identified in unopened 5-pound containers of King Nut peanut butter in Minnesota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Connecticut, in the peanut butter factory, and in bacteria isolated from the patients. At the time, King Nut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peanut butter was manufactured by the Peanut Corporation of America (PCA) in Blakely, Georgia, and sold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to schools, hospitals, restaurants, cafeterias, and other large institutions rather than directly to consumers.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 xml:space="preserve">Examination of the bacteria revealed several different </w:t>
      </w:r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S. </w:t>
      </w:r>
      <w:proofErr w:type="spellStart"/>
      <w:r w:rsidRPr="00F04E10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strains, but only a few of them were linked to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F04E10">
        <w:rPr>
          <w:rFonts w:cs="AvenirLTStd-Book"/>
          <w:color w:val="000000"/>
          <w:sz w:val="24"/>
          <w:szCs w:val="24"/>
        </w:rPr>
        <w:t>the illnesses.</w:t>
      </w:r>
    </w:p>
    <w:p w:rsidR="00F04E10" w:rsidRPr="00F04E10" w:rsidRDefault="00F04E10" w:rsidP="00F04E1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F04E10" w:rsidRPr="00F04E10" w:rsidRDefault="00F04E10" w:rsidP="00F04E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F04E10">
        <w:rPr>
          <w:rFonts w:cs="AvenirLTStd-Book"/>
          <w:color w:val="000000"/>
          <w:sz w:val="24"/>
          <w:szCs w:val="24"/>
        </w:rPr>
        <w:t>What chemicals make up DNA?</w:t>
      </w:r>
    </w:p>
    <w:p w:rsidR="00F04E10" w:rsidRPr="00F04E10" w:rsidRDefault="00F04E10" w:rsidP="00F04E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F04E10">
        <w:rPr>
          <w:rFonts w:cs="AvenirLTStd-Book"/>
          <w:color w:val="000000"/>
          <w:sz w:val="24"/>
          <w:szCs w:val="24"/>
        </w:rPr>
        <w:t xml:space="preserve">Without knowing the specific details of DNA fingerprinting, how do you think these profiles could be used to show that a particular bacterial strain is </w:t>
      </w:r>
      <w:r w:rsidRPr="00F04E10">
        <w:rPr>
          <w:rFonts w:cs="AvenirLTStd-BookOblique"/>
          <w:i/>
          <w:iCs/>
          <w:color w:val="000000"/>
          <w:sz w:val="24"/>
          <w:szCs w:val="24"/>
        </w:rPr>
        <w:t xml:space="preserve">not </w:t>
      </w:r>
      <w:r w:rsidRPr="00F04E10">
        <w:rPr>
          <w:rFonts w:cs="AvenirLTStd-Book"/>
          <w:color w:val="000000"/>
          <w:sz w:val="24"/>
          <w:szCs w:val="24"/>
        </w:rPr>
        <w:t>part of an outbreak?</w:t>
      </w:r>
    </w:p>
    <w:p w:rsidR="00F04E10" w:rsidRDefault="00F04E10"/>
    <w:sectPr w:rsidR="00F04E10" w:rsidSect="00085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1841"/>
    <w:multiLevelType w:val="hybridMultilevel"/>
    <w:tmpl w:val="663099B4"/>
    <w:lvl w:ilvl="0" w:tplc="36303D6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03950"/>
    <w:multiLevelType w:val="hybridMultilevel"/>
    <w:tmpl w:val="FDD8F02C"/>
    <w:lvl w:ilvl="0" w:tplc="FC062F5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DA4D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E10"/>
    <w:rsid w:val="00085443"/>
    <w:rsid w:val="00682F8F"/>
    <w:rsid w:val="00C319A2"/>
    <w:rsid w:val="00F0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2013-12-09T21:04:00Z</dcterms:created>
  <dcterms:modified xsi:type="dcterms:W3CDTF">2013-12-09T21:04:00Z</dcterms:modified>
</cp:coreProperties>
</file>