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26"/>
        <w:gridCol w:w="209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Murrary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Raymond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R.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11/05/19</w:t>
            </w:r>
            <w:r>
              <w:rPr>
                <w:rtl w:val="0"/>
                <w:lang w:val="en-US"/>
              </w:rPr>
              <w:t>45</w:t>
            </w:r>
            <w:r>
              <w:rPr>
                <w:rtl w:val="0"/>
                <w:lang w:val="en-US"/>
              </w:rPr>
              <w:t xml:space="preserve">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312-555-6343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3908 N. Central Avenue</w:t>
            </w:r>
          </w:p>
        </w:tc>
        <w:tc>
          <w:tcPr>
            <w:tcW w:type="dxa" w:w="382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7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60634-3276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555-88-3822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retired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Gayle Wendez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Daughter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7782 S. Springfield Avenue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312-555-6268     work: 312-555-8277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60628-5278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Medicare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Raymond Murrary</w:t>
              <w:tab/>
              <w:tab/>
              <w:tab/>
              <w:t>11/05/19</w:t>
            </w:r>
            <w:r>
              <w:rPr>
                <w:rtl w:val="0"/>
                <w:lang w:val="en-US"/>
              </w:rPr>
              <w:t>45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555-88-3822B</w:t>
              <w:tab/>
              <w:tab/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Arthritis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Forte" w:cs="Forte" w:hAnsi="Forte" w:eastAsia="Forte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Forte" w:cs="Forte" w:hAnsi="Forte" w:eastAsia="Forte"/>
                <w:sz w:val="36"/>
                <w:szCs w:val="36"/>
                <w:rtl w:val="0"/>
                <w:lang w:val="en-US"/>
              </w:rPr>
              <w:t>Raymond Murrary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10/22/20--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Forte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