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tbl>
      <w:tblPr>
        <w:tblW w:w="1080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Roberts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Suzanne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E.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07/07/19</w:t>
            </w:r>
            <w:r>
              <w:rPr>
                <w:rtl w:val="0"/>
                <w:lang w:val="en-US"/>
              </w:rPr>
              <w:t>92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312-555-2267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133 N. Mason Avenue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60625-4433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340-20-1827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Rollins Club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9752 S. Springfield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60632-5972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312-555-8835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Lucinda St. Marie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Mother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133 N. Mason Avenue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312-555-2267      work: 312-555-2781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60625-4433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none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annual Pap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20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adley Hand ITC" w:cs="Bradley Hand ITC" w:hAnsi="Bradley Hand ITC" w:eastAsia="Bradley Hand ITC"/>
                <w:sz w:val="48"/>
                <w:szCs w:val="48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adley Hand ITC" w:cs="Bradley Hand ITC" w:hAnsi="Bradley Hand ITC" w:eastAsia="Bradley Hand ITC"/>
                <w:sz w:val="48"/>
                <w:szCs w:val="48"/>
                <w:rtl w:val="0"/>
                <w:lang w:val="en-US"/>
              </w:rPr>
              <w:t>Suzanne Roberts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01/05/20--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adley Hand ITC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